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hint="default" w:ascii="FangSong_GB2312" w:eastAsia="仿宋_GB2312"/>
          <w:sz w:val="32"/>
          <w:u w:val="single"/>
          <w:lang w:val="en-US" w:eastAsia="zh-CN"/>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仿宋_GB2312" w:eastAsia="仿宋_GB2312"/>
          <w:sz w:val="32"/>
          <w:u w:val="single"/>
        </w:rPr>
        <w:t xml:space="preserve">       湖南</w:t>
      </w:r>
      <w:r>
        <w:rPr>
          <w:rFonts w:hint="eastAsia" w:ascii="仿宋_GB2312" w:eastAsia="仿宋_GB2312"/>
          <w:sz w:val="32"/>
          <w:u w:val="single"/>
          <w:lang w:val="en-US" w:eastAsia="zh-CN"/>
        </w:rPr>
        <w:t>工商</w:t>
      </w:r>
      <w:r>
        <w:rPr>
          <w:rFonts w:hint="eastAsia" w:ascii="仿宋_GB2312" w:eastAsia="仿宋_GB2312"/>
          <w:sz w:val="32"/>
          <w:u w:val="single"/>
        </w:rPr>
        <w:t xml:space="preserve">大学     </w:t>
      </w:r>
      <w:r>
        <w:rPr>
          <w:rFonts w:hint="eastAsia" w:ascii="仿宋_GB2312" w:eastAsia="仿宋_GB2312"/>
          <w:sz w:val="32"/>
          <w:u w:val="single"/>
          <w:lang w:val="en-US" w:eastAsia="zh-CN"/>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r>
        <w:rPr>
          <w:rFonts w:hint="eastAsia" w:ascii="FangSong_GB2312" w:eastAsia="FangSong_GB2312"/>
          <w:sz w:val="32"/>
          <w:u w:val="single"/>
          <w:lang w:val="en-US" w:eastAsia="zh-CN"/>
        </w:rPr>
        <w:t>2025年10月22日</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28"/>
          <w:lang w:val="en-US" w:eastAsia="zh-CN"/>
        </w:rPr>
        <w:t>2025</w:t>
      </w:r>
      <w:r>
        <w:rPr>
          <w:rFonts w:hint="eastAsia"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22</w:t>
      </w:r>
      <w:r>
        <w:rPr>
          <w:rFonts w:hint="eastAsia" w:ascii="仿宋" w:hAnsi="仿宋" w:eastAsia="仿宋"/>
          <w:sz w:val="30"/>
          <w:szCs w:val="30"/>
        </w:rPr>
        <w:t>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rPr>
                <w:rFonts w:hint="eastAsia" w:eastAsia="宋体"/>
                <w:lang w:val="en-US" w:eastAsia="zh-CN"/>
              </w:rPr>
            </w:pPr>
            <w:r>
              <w:rPr>
                <w:rFonts w:hint="eastAsia"/>
                <w:lang w:val="en-US" w:eastAsia="zh-CN"/>
              </w:rPr>
              <w:t>湖南</w:t>
            </w: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rPr>
                <w:rFonts w:hint="eastAsia" w:eastAsia="宋体"/>
                <w:lang w:val="en-US" w:eastAsia="zh-CN"/>
              </w:rPr>
            </w:pPr>
            <w:r>
              <w:rPr>
                <w:rFonts w:hint="eastAsia"/>
                <w:lang w:val="en-US" w:eastAsia="zh-CN"/>
              </w:rPr>
              <w:t>湖南工商大学</w:t>
            </w: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rFonts w:hint="eastAsia" w:eastAsia="宋体"/>
                <w:b/>
                <w:bCs/>
                <w:lang w:eastAsia="zh-CN"/>
              </w:rPr>
            </w:pPr>
            <w:r>
              <w:rPr>
                <w:rFonts w:hint="eastAsia"/>
                <w:b/>
                <w:bCs/>
              </w:rPr>
              <w:t>开支细目</w:t>
            </w:r>
            <w:r>
              <w:rPr>
                <w:rFonts w:hint="eastAsia"/>
                <w:b/>
                <w:bCs/>
                <w:color w:val="FF0000"/>
                <w:lang w:eastAsia="zh-CN"/>
              </w:rPr>
              <w:t>（</w:t>
            </w:r>
            <w:r>
              <w:rPr>
                <w:rFonts w:hint="eastAsia"/>
                <w:b/>
                <w:bCs/>
                <w:color w:val="FF0000"/>
                <w:lang w:val="en-US" w:eastAsia="zh-CN"/>
              </w:rPr>
              <w:t>本表填好后请清除所有红色提示文字</w:t>
            </w:r>
            <w:r>
              <w:rPr>
                <w:rFonts w:hint="eastAsia"/>
                <w:b/>
                <w:bCs/>
                <w:color w:val="FF0000"/>
                <w:lang w:eastAsia="zh-CN"/>
              </w:rPr>
              <w:t>）</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pPr>
              <w:rPr>
                <w:rFonts w:hint="eastAsia"/>
              </w:rPr>
            </w:pPr>
            <w:r>
              <w:rPr>
                <w:rFonts w:hint="eastAsia"/>
              </w:rPr>
              <w:t>（说明每项内容及金额）</w:t>
            </w:r>
          </w:p>
          <w:p w14:paraId="29D88CCB">
            <w:pPr>
              <w:rPr>
                <w:rFonts w:hint="eastAsia"/>
              </w:rPr>
            </w:pPr>
            <w:r>
              <w:rPr>
                <w:rFonts w:hint="eastAsia"/>
                <w:color w:val="FF0000"/>
              </w:rPr>
              <w:t>如购买图书多少元，文献收集复印扫描多少元，检索文献多少元，数据采集费（确有必要的话）多少元，研究成果打印复印装订等多少元，会议费多少元，差旅费多少元，市内短交费多少元（本项注意不超过5</w:t>
            </w:r>
            <w:r>
              <w:rPr>
                <w:color w:val="FF0000"/>
              </w:rPr>
              <w:t>000</w:t>
            </w:r>
            <w:r>
              <w:rPr>
                <w:rFonts w:hint="eastAsia"/>
                <w:color w:val="FF0000"/>
              </w:rPr>
              <w:t>元），国际合作与交流费（确有必要的话）多少元，购买纸、笔、U盘、录音笔、硒鼓等科研用品及耗材多少元（本项注意不超过15</w:t>
            </w:r>
            <w:r>
              <w:rPr>
                <w:color w:val="FF0000"/>
              </w:rPr>
              <w:t>000</w:t>
            </w:r>
            <w:r>
              <w:rPr>
                <w:rFonts w:hint="eastAsia"/>
                <w:color w:val="FF0000"/>
              </w:rPr>
              <w:t>元</w:t>
            </w:r>
            <w:r>
              <w:rPr>
                <w:rFonts w:hint="eastAsia"/>
                <w:color w:val="FF0000"/>
                <w:lang w:eastAsia="zh-CN"/>
              </w:rPr>
              <w:t>）</w:t>
            </w:r>
            <w:r>
              <w:rPr>
                <w:rFonts w:hint="eastAsia"/>
                <w:color w:val="FF0000"/>
              </w:rPr>
              <w:t>，邮寄费通讯费网络费多少元（本项注意</w:t>
            </w:r>
            <w:r>
              <w:rPr>
                <w:rFonts w:hint="eastAsia"/>
                <w:color w:val="FF0000"/>
                <w:lang w:val="en-US" w:eastAsia="zh-CN"/>
              </w:rPr>
              <w:t>合计</w:t>
            </w:r>
            <w:r>
              <w:rPr>
                <w:rFonts w:hint="eastAsia"/>
                <w:color w:val="FF0000"/>
              </w:rPr>
              <w:t>不超过5</w:t>
            </w:r>
            <w:r>
              <w:rPr>
                <w:color w:val="FF0000"/>
              </w:rPr>
              <w:t>000</w:t>
            </w:r>
            <w:r>
              <w:rPr>
                <w:rFonts w:hint="eastAsia"/>
                <w:color w:val="FF0000"/>
              </w:rPr>
              <w:t>元）。</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pPr>
              <w:rPr>
                <w:rFonts w:hint="eastAsia"/>
              </w:rPr>
            </w:pPr>
            <w:r>
              <w:rPr>
                <w:rFonts w:hint="eastAsia"/>
              </w:rPr>
              <w:t>（说明每项内容及金额）</w:t>
            </w:r>
          </w:p>
          <w:p w14:paraId="315FA6A4">
            <w:pPr>
              <w:rPr>
                <w:color w:val="FF0000"/>
              </w:rPr>
            </w:pPr>
            <w:r>
              <w:rPr>
                <w:rFonts w:hint="eastAsia"/>
                <w:color w:val="FF0000"/>
              </w:rPr>
              <w:t>如：咨询专家多少人次，每人次多少元；</w:t>
            </w:r>
          </w:p>
          <w:p w14:paraId="46EFD0C5">
            <w:pPr>
              <w:rPr>
                <w:rFonts w:hint="eastAsia"/>
              </w:rPr>
            </w:pPr>
            <w:r>
              <w:rPr>
                <w:rFonts w:hint="eastAsia"/>
                <w:color w:val="FF0000"/>
              </w:rPr>
              <w:t>发放协助研究的学生劳务费多少人次，每人次多少元。</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pPr>
              <w:rPr>
                <w:rFonts w:hint="eastAsia"/>
              </w:rPr>
            </w:pPr>
            <w:r>
              <w:rPr>
                <w:rFonts w:hint="eastAsia"/>
              </w:rPr>
              <w:t>（说明每项内容及金额）</w:t>
            </w:r>
          </w:p>
          <w:p w14:paraId="32AAB5C3">
            <w:pPr>
              <w:rPr>
                <w:rFonts w:hint="eastAsia"/>
              </w:rPr>
            </w:pPr>
            <w:r>
              <w:rPr>
                <w:rFonts w:hint="eastAsia"/>
                <w:color w:val="FF0000"/>
              </w:rPr>
              <w:t>确有必要的话，购买设备须写明台数及单价（同类设备最多</w:t>
            </w:r>
            <w:r>
              <w:rPr>
                <w:rFonts w:hint="eastAsia"/>
                <w:color w:val="FF0000"/>
                <w:lang w:val="en-US" w:eastAsia="zh-CN"/>
              </w:rPr>
              <w:t>1</w:t>
            </w:r>
            <w:r>
              <w:rPr>
                <w:rFonts w:hint="eastAsia"/>
                <w:color w:val="FF0000"/>
              </w:rPr>
              <w:t>台</w:t>
            </w:r>
            <w:r>
              <w:rPr>
                <w:rFonts w:hint="eastAsia"/>
                <w:color w:val="FF0000"/>
                <w:lang w:eastAsia="zh-CN"/>
              </w:rPr>
              <w:t>，</w:t>
            </w:r>
            <w:r>
              <w:rPr>
                <w:rFonts w:hint="eastAsia"/>
                <w:color w:val="FF0000"/>
                <w:lang w:val="en-US" w:eastAsia="zh-CN"/>
              </w:rPr>
              <w:t>单价不超过1万</w:t>
            </w:r>
            <w:r>
              <w:rPr>
                <w:rFonts w:hint="eastAsia"/>
                <w:color w:val="FF0000"/>
              </w:rPr>
              <w:t>），如电脑1台多少元；打印机1台多少元。</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color w:val="FF0000"/>
                <w:lang w:val="en-US" w:eastAsia="zh-CN"/>
              </w:rPr>
              <w:t>上限14</w:t>
            </w: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color w:val="FF0000"/>
                <w:lang w:val="en-US" w:eastAsia="zh-CN"/>
              </w:rPr>
              <w:t>35</w:t>
            </w: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w:t>
            </w:r>
            <w:r>
              <w:rPr>
                <w:rFonts w:hint="eastAsia"/>
                <w:lang w:val="en-US" w:eastAsia="zh-CN"/>
              </w:rPr>
              <w:t>直接经费</w:t>
            </w:r>
            <w:r>
              <w:rPr>
                <w:rFonts w:hint="eastAsia"/>
              </w:rPr>
              <w:t>预算</w:t>
            </w:r>
          </w:p>
        </w:tc>
        <w:tc>
          <w:tcPr>
            <w:tcW w:w="1086" w:type="dxa"/>
          </w:tcPr>
          <w:p w14:paraId="6320C3BD">
            <w:pPr>
              <w:jc w:val="center"/>
            </w:pPr>
            <w:r>
              <w:rPr>
                <w:rFonts w:hint="eastAsia"/>
              </w:rPr>
              <w:t>20</w:t>
            </w:r>
            <w:r>
              <w:rPr>
                <w:rFonts w:hint="eastAsia"/>
                <w:lang w:val="en-US" w:eastAsia="zh-CN"/>
              </w:rPr>
              <w:t>25</w:t>
            </w:r>
            <w:r>
              <w:rPr>
                <w:rFonts w:hint="eastAsia"/>
              </w:rPr>
              <w:t>年</w:t>
            </w:r>
          </w:p>
        </w:tc>
        <w:tc>
          <w:tcPr>
            <w:tcW w:w="1365" w:type="dxa"/>
            <w:gridSpan w:val="2"/>
          </w:tcPr>
          <w:p w14:paraId="7B0218ED">
            <w:pPr>
              <w:ind w:left="57"/>
              <w:jc w:val="center"/>
            </w:pPr>
            <w:r>
              <w:rPr>
                <w:rFonts w:hint="eastAsia"/>
              </w:rPr>
              <w:t>20</w:t>
            </w:r>
            <w:r>
              <w:rPr>
                <w:rFonts w:hint="eastAsia"/>
                <w:lang w:val="en-US" w:eastAsia="zh-CN"/>
              </w:rPr>
              <w:t>26</w:t>
            </w:r>
            <w:r>
              <w:rPr>
                <w:rFonts w:hint="eastAsia"/>
              </w:rPr>
              <w:t>年</w:t>
            </w:r>
          </w:p>
        </w:tc>
        <w:tc>
          <w:tcPr>
            <w:tcW w:w="1365" w:type="dxa"/>
          </w:tcPr>
          <w:p w14:paraId="1A833230">
            <w:pPr>
              <w:jc w:val="center"/>
            </w:pPr>
            <w:r>
              <w:rPr>
                <w:rFonts w:hint="eastAsia"/>
              </w:rPr>
              <w:t>20</w:t>
            </w:r>
            <w:r>
              <w:rPr>
                <w:rFonts w:hint="eastAsia"/>
                <w:lang w:val="en-US" w:eastAsia="zh-CN"/>
              </w:rPr>
              <w:t>27</w:t>
            </w:r>
            <w:r>
              <w:rPr>
                <w:rFonts w:hint="eastAsia"/>
              </w:rPr>
              <w:t>年</w:t>
            </w:r>
          </w:p>
        </w:tc>
        <w:tc>
          <w:tcPr>
            <w:tcW w:w="1365" w:type="dxa"/>
          </w:tcPr>
          <w:p w14:paraId="3629191B">
            <w:pPr>
              <w:jc w:val="center"/>
            </w:pPr>
            <w:r>
              <w:rPr>
                <w:rFonts w:hint="eastAsia"/>
              </w:rPr>
              <w:t>20</w:t>
            </w:r>
            <w:r>
              <w:rPr>
                <w:rFonts w:hint="eastAsia"/>
                <w:lang w:val="en-US" w:eastAsia="zh-CN"/>
              </w:rPr>
              <w:t>28</w:t>
            </w:r>
            <w:r>
              <w:rPr>
                <w:rFonts w:hint="eastAsia"/>
              </w:rPr>
              <w:t>年</w:t>
            </w:r>
          </w:p>
        </w:tc>
        <w:tc>
          <w:tcPr>
            <w:tcW w:w="1351" w:type="dxa"/>
          </w:tcPr>
          <w:p w14:paraId="61B4E717">
            <w:pPr>
              <w:jc w:val="center"/>
            </w:pPr>
            <w:r>
              <w:rPr>
                <w:rFonts w:hint="eastAsia"/>
              </w:rPr>
              <w:t>20</w:t>
            </w:r>
            <w:r>
              <w:rPr>
                <w:rFonts w:hint="eastAsia"/>
                <w:lang w:val="en-US" w:eastAsia="zh-CN"/>
              </w:rPr>
              <w:t>29</w:t>
            </w:r>
            <w:r>
              <w:rPr>
                <w:rFonts w:hint="eastAsia"/>
              </w:rPr>
              <w:t>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pPr>
              <w:jc w:val="center"/>
              <w:rPr>
                <w:rFonts w:hint="eastAsia" w:eastAsia="宋体"/>
                <w:color w:val="FF0000"/>
                <w:lang w:val="en-US" w:eastAsia="zh-CN"/>
              </w:rPr>
            </w:pPr>
            <w:r>
              <w:rPr>
                <w:rFonts w:hint="eastAsia"/>
                <w:color w:val="FF0000"/>
                <w:lang w:val="en-US" w:eastAsia="zh-CN"/>
              </w:rPr>
              <w:t>5</w:t>
            </w:r>
          </w:p>
        </w:tc>
        <w:tc>
          <w:tcPr>
            <w:tcW w:w="1365" w:type="dxa"/>
            <w:gridSpan w:val="2"/>
          </w:tcPr>
          <w:p w14:paraId="6C8E91F9">
            <w:pPr>
              <w:jc w:val="center"/>
              <w:rPr>
                <w:rFonts w:hint="eastAsia" w:eastAsia="宋体"/>
                <w:color w:val="FF0000"/>
                <w:lang w:val="en-US" w:eastAsia="zh-CN"/>
              </w:rPr>
            </w:pPr>
            <w:r>
              <w:rPr>
                <w:rFonts w:hint="eastAsia"/>
                <w:color w:val="FF0000"/>
                <w:lang w:val="en-US" w:eastAsia="zh-CN"/>
              </w:rPr>
              <w:t>8</w:t>
            </w:r>
          </w:p>
        </w:tc>
        <w:tc>
          <w:tcPr>
            <w:tcW w:w="1365" w:type="dxa"/>
          </w:tcPr>
          <w:p w14:paraId="3482E409">
            <w:pPr>
              <w:jc w:val="center"/>
              <w:rPr>
                <w:rFonts w:hint="eastAsia" w:eastAsia="宋体"/>
                <w:color w:val="FF0000"/>
                <w:lang w:val="en-US" w:eastAsia="zh-CN"/>
              </w:rPr>
            </w:pPr>
            <w:r>
              <w:rPr>
                <w:rFonts w:hint="eastAsia"/>
                <w:color w:val="FF0000"/>
                <w:lang w:val="en-US" w:eastAsia="zh-CN"/>
              </w:rPr>
              <w:t>4</w:t>
            </w:r>
          </w:p>
        </w:tc>
        <w:tc>
          <w:tcPr>
            <w:tcW w:w="1365" w:type="dxa"/>
          </w:tcPr>
          <w:p w14:paraId="1C72FA60">
            <w:pPr>
              <w:jc w:val="center"/>
              <w:rPr>
                <w:rFonts w:hint="eastAsia" w:eastAsia="宋体"/>
                <w:color w:val="FF0000"/>
                <w:lang w:val="en-US" w:eastAsia="zh-CN"/>
              </w:rPr>
            </w:pPr>
            <w:r>
              <w:rPr>
                <w:rFonts w:hint="eastAsia"/>
                <w:color w:val="FF0000"/>
                <w:lang w:val="en-US" w:eastAsia="zh-CN"/>
              </w:rPr>
              <w:t>3</w:t>
            </w:r>
          </w:p>
        </w:tc>
        <w:tc>
          <w:tcPr>
            <w:tcW w:w="1351" w:type="dxa"/>
          </w:tcPr>
          <w:p w14:paraId="01FBE4D5">
            <w:pPr>
              <w:jc w:val="center"/>
              <w:rPr>
                <w:rFonts w:hint="eastAsia" w:eastAsia="宋体"/>
                <w:color w:val="FF0000"/>
                <w:lang w:val="en-US" w:eastAsia="zh-CN"/>
              </w:rPr>
            </w:pPr>
            <w:r>
              <w:rPr>
                <w:rFonts w:hint="eastAsia"/>
                <w:color w:val="FF0000"/>
                <w:lang w:val="en-US" w:eastAsia="zh-CN"/>
              </w:rPr>
              <w:t>1</w:t>
            </w:r>
          </w:p>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48681406">
            <w:pPr>
              <w:spacing w:line="150" w:lineRule="atLeast"/>
              <w:rPr>
                <w:rFonts w:hint="eastAsia" w:ascii="宋体" w:hAnsi="宋体"/>
              </w:rPr>
            </w:pPr>
            <w:r>
              <w:rPr>
                <w:rFonts w:ascii="宋体" w:hAnsi="宋体"/>
                <w:color w:val="FF0000"/>
                <w:sz w:val="28"/>
                <w:szCs w:val="28"/>
              </w:rPr>
              <w:t>填写</w:t>
            </w:r>
            <w:r>
              <w:rPr>
                <w:rFonts w:hint="eastAsia" w:ascii="宋体" w:hAnsi="宋体"/>
                <w:color w:val="FF0000"/>
                <w:sz w:val="28"/>
                <w:szCs w:val="28"/>
              </w:rPr>
              <w:t>项目</w:t>
            </w:r>
            <w:r>
              <w:rPr>
                <w:rFonts w:hint="eastAsia" w:ascii="宋体" w:hAnsi="宋体"/>
                <w:color w:val="FF0000"/>
                <w:sz w:val="28"/>
                <w:szCs w:val="28"/>
                <w:lang w:val="en-US" w:eastAsia="zh-CN"/>
              </w:rPr>
              <w:t>申请人</w:t>
            </w:r>
            <w:r>
              <w:rPr>
                <w:rFonts w:ascii="宋体" w:hAnsi="宋体"/>
                <w:color w:val="FF0000"/>
                <w:sz w:val="28"/>
                <w:szCs w:val="28"/>
              </w:rPr>
              <w:t>所在学院情况</w:t>
            </w:r>
            <w:r>
              <w:rPr>
                <w:rFonts w:hint="eastAsia" w:ascii="宋体" w:hAnsi="宋体"/>
                <w:color w:val="FF0000"/>
                <w:sz w:val="28"/>
                <w:szCs w:val="28"/>
              </w:rPr>
              <w:t>，</w:t>
            </w:r>
            <w:r>
              <w:rPr>
                <w:rFonts w:ascii="宋体" w:hAnsi="宋体"/>
                <w:color w:val="FF0000"/>
                <w:sz w:val="28"/>
                <w:szCs w:val="28"/>
              </w:rPr>
              <w:t>并由学院主管科研负责人签字</w:t>
            </w:r>
            <w:r>
              <w:rPr>
                <w:rFonts w:hint="eastAsia" w:ascii="宋体" w:hAnsi="宋体"/>
                <w:color w:val="FF0000"/>
                <w:sz w:val="28"/>
                <w:szCs w:val="28"/>
              </w:rPr>
              <w:t>、</w:t>
            </w:r>
            <w:r>
              <w:rPr>
                <w:rFonts w:ascii="宋体" w:hAnsi="宋体"/>
                <w:color w:val="FF0000"/>
                <w:sz w:val="28"/>
                <w:szCs w:val="28"/>
              </w:rPr>
              <w:t>盖章</w:t>
            </w:r>
            <w:r>
              <w:rPr>
                <w:rFonts w:hint="eastAsia" w:ascii="宋体" w:hAnsi="宋体"/>
                <w:color w:val="FF0000"/>
                <w:sz w:val="28"/>
                <w:szCs w:val="28"/>
              </w:rPr>
              <w:t>。</w:t>
            </w:r>
          </w:p>
          <w:p w14:paraId="06DA296E">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505E1E3E">
      <w:pPr>
        <w:rPr>
          <w:rFonts w:hint="eastAsia" w:eastAsia="黑体"/>
          <w:sz w:val="32"/>
        </w:rPr>
      </w:pPr>
      <w:r>
        <w:rPr>
          <w:rFonts w:hint="eastAsia" w:eastAsia="黑体"/>
          <w:sz w:val="32"/>
        </w:rPr>
        <w:br w:type="page"/>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35AD3B05">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本表所填写的内容属实；</w:t>
            </w:r>
            <w:bookmarkStart w:id="0" w:name="_GoBack"/>
            <w:bookmarkEnd w:id="0"/>
            <w:r>
              <w:rPr>
                <w:rFonts w:hint="eastAsia" w:ascii="楷体_GB2312" w:hAnsi="宋体" w:eastAsia="楷体_GB2312"/>
                <w:color w:val="000000"/>
                <w:position w:val="6"/>
                <w:sz w:val="24"/>
                <w:szCs w:val="24"/>
                <w:lang w:eastAsia="zh-CN"/>
              </w:rPr>
              <w:t>湖南工商大学</w:t>
            </w:r>
            <w:r>
              <w:rPr>
                <w:rFonts w:hint="eastAsia" w:ascii="楷体_GB2312" w:hAnsi="宋体" w:eastAsia="楷体_GB2312"/>
                <w:color w:val="000000"/>
                <w:position w:val="6"/>
                <w:sz w:val="24"/>
                <w:szCs w:val="24"/>
              </w:rPr>
              <w:t>高度重视国家社科基金项目的申报和管理工作，保证提供完成本项目所需的时间和条件保障；并承担本项目的管理任务和信誉保证；我校为保证项目研究有充足研究时间而制定了特殊的政策或措施；学校</w:t>
            </w:r>
            <w:r>
              <w:rPr>
                <w:rFonts w:hint="eastAsia" w:ascii="楷体_GB2312" w:hAnsi="宋体" w:eastAsia="楷体_GB2312"/>
                <w:color w:val="000000"/>
                <w:position w:val="6"/>
                <w:sz w:val="24"/>
                <w:szCs w:val="24"/>
                <w:lang w:eastAsia="zh-CN"/>
              </w:rPr>
              <w:t>科研处</w:t>
            </w:r>
            <w:r>
              <w:rPr>
                <w:rFonts w:hint="eastAsia" w:ascii="楷体_GB2312" w:hAnsi="宋体" w:eastAsia="楷体_GB2312"/>
                <w:color w:val="000000"/>
                <w:position w:val="6"/>
                <w:sz w:val="24"/>
                <w:szCs w:val="24"/>
              </w:rPr>
              <w:t>保证对项目研究实施全过程监督管理，专人负责项目的实施。</w:t>
            </w:r>
          </w:p>
          <w:p w14:paraId="51BE080E">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lang w:eastAsia="zh-CN"/>
              </w:rPr>
              <w:t>湖南工商大学科研处</w:t>
            </w:r>
            <w:r>
              <w:rPr>
                <w:rFonts w:hint="eastAsia" w:ascii="楷体_GB2312" w:hAnsi="宋体" w:eastAsia="楷体_GB2312"/>
                <w:color w:val="000000"/>
                <w:position w:val="6"/>
                <w:sz w:val="24"/>
                <w:szCs w:val="24"/>
              </w:rPr>
              <w:t>作为学校科研管理部门，将严格执行“国家社会科学基金管理办法”的有关规定，采取目标管理与过程管理相结合的办法，通过完善项目跟踪制度对项目进行监督管理。具体的监督管理措施有：</w:t>
            </w:r>
          </w:p>
          <w:p w14:paraId="0247E7BE">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1. 协调各职能部门、院系与项目组间的关系，加强监督检查并及时解决所存在的问题，保证项目高效运行。</w:t>
            </w:r>
          </w:p>
          <w:p w14:paraId="1B9211A8">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2.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4DBC2543">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3. 落实项目负责人负责制。明确课题负责人、课题组成员的职责并督促他们认真履行，</w:t>
            </w:r>
            <w:r>
              <w:rPr>
                <w:rFonts w:hint="eastAsia" w:ascii="楷体_GB2312" w:hAnsi="宋体" w:eastAsia="楷体_GB2312"/>
                <w:color w:val="000000"/>
                <w:position w:val="6"/>
                <w:sz w:val="24"/>
                <w:szCs w:val="24"/>
                <w:lang w:eastAsia="zh-CN"/>
              </w:rPr>
              <w:t>科研处</w:t>
            </w:r>
            <w:r>
              <w:rPr>
                <w:rFonts w:hint="eastAsia" w:ascii="楷体_GB2312" w:hAnsi="宋体" w:eastAsia="楷体_GB2312"/>
                <w:color w:val="000000"/>
                <w:position w:val="6"/>
                <w:sz w:val="24"/>
                <w:szCs w:val="24"/>
              </w:rPr>
              <w:t>指派专人负责此项工作，并协助负责人做好项目实施工作。</w:t>
            </w:r>
          </w:p>
          <w:p w14:paraId="45EE53E8">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4. 通过学校报刊、网站、广播电视等媒体，积极宣传项目进展情况和相关成果。协助全国社科工作办做好项目中检工作。认真评估项目执行情况，发现问题及时向全国社科工作办汇报并积极寻求解决办法。</w:t>
            </w:r>
          </w:p>
          <w:p w14:paraId="00223F1B">
            <w:pPr>
              <w:autoSpaceDE w:val="0"/>
              <w:autoSpaceDN w:val="0"/>
              <w:spacing w:line="420" w:lineRule="exact"/>
              <w:ind w:firstLine="480" w:firstLineChars="200"/>
              <w:jc w:val="left"/>
              <w:rPr>
                <w:rFonts w:ascii="宋体"/>
              </w:rPr>
            </w:pPr>
            <w:r>
              <w:rPr>
                <w:rFonts w:hint="eastAsia" w:ascii="楷体_GB2312" w:hAnsi="宋体" w:eastAsia="楷体_GB2312"/>
                <w:color w:val="000000"/>
                <w:position w:val="6"/>
                <w:sz w:val="24"/>
                <w:szCs w:val="24"/>
              </w:rPr>
              <w:t>5. 严格项目经费管理，规范支出，确保经费使用合理有效。</w:t>
            </w:r>
            <w:r>
              <w:rPr>
                <w:rFonts w:hint="eastAsia" w:ascii="楷体_GB2312" w:hAnsi="宋体" w:eastAsia="楷体_GB2312"/>
                <w:color w:val="000000"/>
                <w:position w:val="6"/>
                <w:sz w:val="24"/>
                <w:szCs w:val="24"/>
                <w:lang w:eastAsia="zh-CN"/>
              </w:rPr>
              <w:t>科研处</w:t>
            </w:r>
            <w:r>
              <w:rPr>
                <w:rFonts w:hint="eastAsia" w:ascii="楷体_GB2312" w:hAnsi="宋体" w:eastAsia="楷体_GB2312"/>
                <w:color w:val="000000"/>
                <w:position w:val="6"/>
                <w:sz w:val="24"/>
                <w:szCs w:val="24"/>
              </w:rPr>
              <w:t>与学校财务处共同监督管理项目经费使用情况。财务处单独设立专用账号，保证专款专用，实行预算管理，保证按照“国家社会科学基金项目资金管理办法”规定的支出范围使用经费。</w:t>
            </w:r>
          </w:p>
          <w:p w14:paraId="0404F0C8">
            <w:pPr>
              <w:autoSpaceDE w:val="0"/>
              <w:autoSpaceDN w:val="0"/>
              <w:spacing w:line="328" w:lineRule="atLeast"/>
              <w:ind w:firstLine="420" w:firstLineChars="200"/>
              <w:jc w:val="left"/>
              <w:rPr>
                <w:rFonts w:hint="eastAsia"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日</w:t>
            </w:r>
          </w:p>
        </w:tc>
      </w:tr>
    </w:tbl>
    <w:p w14:paraId="332E43E6">
      <w:pPr>
        <w:rPr>
          <w:rFonts w:hint="eastAsia" w:ascii="宋体" w:hAnsi="宋体"/>
          <w:b/>
          <w:bCs/>
          <w:sz w:val="24"/>
        </w:rPr>
      </w:pPr>
      <w:r>
        <w:rPr>
          <w:rFonts w:hint="eastAsia" w:ascii="宋体" w:hAnsi="宋体"/>
          <w:b/>
          <w:bCs/>
          <w:sz w:val="24"/>
        </w:rPr>
        <w:br w:type="page"/>
      </w: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7D636070">
            <w:pPr>
              <w:autoSpaceDE w:val="0"/>
              <w:autoSpaceDN w:val="0"/>
              <w:spacing w:line="328" w:lineRule="atLeast"/>
              <w:jc w:val="left"/>
              <w:rPr>
                <w:rFonts w:ascii="宋体"/>
              </w:rPr>
            </w:pPr>
          </w:p>
          <w:p w14:paraId="1DA53703">
            <w:pPr>
              <w:autoSpaceDE w:val="0"/>
              <w:autoSpaceDN w:val="0"/>
              <w:spacing w:line="328" w:lineRule="atLeast"/>
              <w:jc w:val="left"/>
              <w:rPr>
                <w:rFonts w:ascii="宋体"/>
              </w:rPr>
            </w:pPr>
          </w:p>
          <w:p w14:paraId="5495331F">
            <w:pPr>
              <w:autoSpaceDE w:val="0"/>
              <w:autoSpaceDN w:val="0"/>
              <w:spacing w:line="328" w:lineRule="atLeast"/>
              <w:jc w:val="left"/>
              <w:rPr>
                <w:rFonts w:ascii="宋体"/>
              </w:rPr>
            </w:pPr>
          </w:p>
          <w:p w14:paraId="3934B7ED">
            <w:pPr>
              <w:autoSpaceDE w:val="0"/>
              <w:autoSpaceDN w:val="0"/>
              <w:spacing w:line="328" w:lineRule="atLeast"/>
              <w:jc w:val="left"/>
              <w:rPr>
                <w:rFonts w:ascii="宋体"/>
              </w:rPr>
            </w:pPr>
          </w:p>
          <w:p w14:paraId="0640D912">
            <w:pPr>
              <w:autoSpaceDE w:val="0"/>
              <w:autoSpaceDN w:val="0"/>
              <w:spacing w:line="328" w:lineRule="atLeast"/>
              <w:jc w:val="left"/>
              <w:rPr>
                <w:rFonts w:ascii="宋体"/>
              </w:rPr>
            </w:pPr>
          </w:p>
          <w:p w14:paraId="4E49357D">
            <w:pPr>
              <w:autoSpaceDE w:val="0"/>
              <w:autoSpaceDN w:val="0"/>
              <w:spacing w:line="328" w:lineRule="atLeast"/>
              <w:jc w:val="left"/>
              <w:rPr>
                <w:rFonts w:ascii="宋体"/>
              </w:rPr>
            </w:pPr>
          </w:p>
          <w:p w14:paraId="0E7D56B8">
            <w:pPr>
              <w:autoSpaceDE w:val="0"/>
              <w:autoSpaceDN w:val="0"/>
              <w:spacing w:line="328" w:lineRule="atLeast"/>
              <w:jc w:val="left"/>
              <w:rPr>
                <w:rFonts w:ascii="宋体"/>
              </w:rPr>
            </w:pPr>
          </w:p>
          <w:p w14:paraId="17E82894">
            <w:pPr>
              <w:autoSpaceDE w:val="0"/>
              <w:autoSpaceDN w:val="0"/>
              <w:spacing w:line="328" w:lineRule="atLeast"/>
              <w:jc w:val="left"/>
              <w:rPr>
                <w:rFonts w:ascii="宋体"/>
              </w:rPr>
            </w:pPr>
          </w:p>
          <w:p w14:paraId="1CB96406">
            <w:pPr>
              <w:autoSpaceDE w:val="0"/>
              <w:autoSpaceDN w:val="0"/>
              <w:spacing w:line="328" w:lineRule="atLeast"/>
              <w:jc w:val="left"/>
              <w:rPr>
                <w:rFonts w:ascii="宋体"/>
              </w:rPr>
            </w:pPr>
          </w:p>
          <w:p w14:paraId="5A98BB4E">
            <w:pPr>
              <w:autoSpaceDE w:val="0"/>
              <w:autoSpaceDN w:val="0"/>
              <w:spacing w:line="328" w:lineRule="atLeast"/>
              <w:jc w:val="left"/>
              <w:rPr>
                <w:rFonts w:ascii="宋体"/>
              </w:rPr>
            </w:pPr>
          </w:p>
          <w:p w14:paraId="6B4E1C27">
            <w:pPr>
              <w:autoSpaceDE w:val="0"/>
              <w:autoSpaceDN w:val="0"/>
              <w:spacing w:line="328" w:lineRule="atLeast"/>
              <w:jc w:val="left"/>
              <w:rPr>
                <w:rFonts w:ascii="宋体"/>
              </w:rPr>
            </w:pPr>
          </w:p>
          <w:p w14:paraId="1FC07164">
            <w:pPr>
              <w:autoSpaceDE w:val="0"/>
              <w:autoSpaceDN w:val="0"/>
              <w:spacing w:line="328" w:lineRule="atLeast"/>
              <w:jc w:val="left"/>
              <w:rPr>
                <w:rFonts w:ascii="宋体"/>
              </w:rPr>
            </w:pPr>
          </w:p>
          <w:p w14:paraId="49B62CCA">
            <w:pPr>
              <w:autoSpaceDE w:val="0"/>
              <w:autoSpaceDN w:val="0"/>
              <w:spacing w:line="328" w:lineRule="atLeast"/>
              <w:jc w:val="left"/>
              <w:rPr>
                <w:rFonts w:ascii="宋体"/>
              </w:rPr>
            </w:pPr>
          </w:p>
          <w:p w14:paraId="498A03B9">
            <w:pPr>
              <w:autoSpaceDE w:val="0"/>
              <w:autoSpaceDN w:val="0"/>
              <w:spacing w:line="328" w:lineRule="atLeast"/>
              <w:jc w:val="left"/>
              <w:rPr>
                <w:rFonts w:ascii="宋体"/>
              </w:rPr>
            </w:pPr>
          </w:p>
          <w:p w14:paraId="15E4CF55">
            <w:pPr>
              <w:autoSpaceDE w:val="0"/>
              <w:autoSpaceDN w:val="0"/>
              <w:spacing w:line="328" w:lineRule="atLeast"/>
              <w:jc w:val="left"/>
              <w:rPr>
                <w:rFonts w:ascii="宋体"/>
              </w:rPr>
            </w:pPr>
          </w:p>
          <w:p w14:paraId="287BBC30">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7530FDD"/>
    <w:rsid w:val="08A255D2"/>
    <w:rsid w:val="0B1C57E6"/>
    <w:rsid w:val="0B2D445C"/>
    <w:rsid w:val="0C382719"/>
    <w:rsid w:val="0DFE6933"/>
    <w:rsid w:val="19F22DA7"/>
    <w:rsid w:val="1DC65239"/>
    <w:rsid w:val="206B609D"/>
    <w:rsid w:val="245F30EC"/>
    <w:rsid w:val="27477331"/>
    <w:rsid w:val="3A3C4CAD"/>
    <w:rsid w:val="3BDB7B7C"/>
    <w:rsid w:val="4DD85964"/>
    <w:rsid w:val="5BE829BC"/>
    <w:rsid w:val="5ED928ED"/>
    <w:rsid w:val="622D71C0"/>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uiPriority w:val="0"/>
    <w:pPr>
      <w:adjustRightInd/>
      <w:spacing w:line="240" w:lineRule="auto"/>
      <w:textAlignment w:val="auto"/>
    </w:pPr>
    <w:rPr>
      <w:rFonts w:ascii="Tahoma" w:hAnsi="Tahoma"/>
      <w:kern w:val="2"/>
      <w:sz w:val="24"/>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3169</Words>
  <Characters>3245</Characters>
  <Lines>22</Lines>
  <Paragraphs>6</Paragraphs>
  <TotalTime>2</TotalTime>
  <ScaleCrop>false</ScaleCrop>
  <LinksUpToDate>false</LinksUpToDate>
  <CharactersWithSpaces>3754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lenovo</dc:creator>
  <cp:lastModifiedBy>罗亮</cp:lastModifiedBy>
  <cp:lastPrinted>2024-07-02T03:39:00Z</cp:lastPrinted>
  <dcterms:modified xsi:type="dcterms:W3CDTF">2025-09-26T04:08:15Z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eyJoZGlkIjoiNGY1NzY5MTlhZjU2ZDM5NGJhZDcyYjlmZjg1YjA4MjIiLCJ1c2VySWQiOiIzNjc3MTk2ODYifQ==</vt:lpwstr>
  </property>
  <property fmtid="{D5CDD505-2E9C-101B-9397-08002B2CF9AE}" pid="4" name="ICV">
    <vt:lpwstr>5C01F80B7B374A5EA37BCB4653D7E3CD_12</vt:lpwstr>
  </property>
</Properties>
</file>